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jc w:val="center"/>
        <w:rPr>
          <w:rFonts w:ascii="宋体" w:hAnsi="宋体" w:eastAsia="宋体"/>
          <w:b/>
          <w:bCs/>
          <w:sz w:val="40"/>
          <w:szCs w:val="40"/>
        </w:rPr>
      </w:pPr>
      <w:r>
        <w:rPr>
          <w:rFonts w:hint="eastAsia" w:ascii="宋体" w:hAnsi="宋体" w:eastAsia="宋体"/>
          <w:b/>
          <w:bCs/>
          <w:sz w:val="40"/>
          <w:szCs w:val="40"/>
        </w:rPr>
        <w:t>西部公汽宝安客运中心办公楼搬迁服务采购询价公告</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研究决定，现通过询价方式确定宝安客运中心办公楼搬迁服务商，具体如下:</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一、采购项目</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宝安客运中心办公楼搬迁服务，具体见搬迁资产明细表（数量为预估数量，仅供参考，具体根据实际需要进行调整），搬迁地址：从深圳市宝安区宝成115区宝安客运中心办公楼搬迁至深圳市宝安区西乡街道鹤洲洲石路深业U中心。</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二、采购方式</w:t>
      </w:r>
    </w:p>
    <w:p>
      <w:pPr>
        <w:spacing w:line="520" w:lineRule="exact"/>
        <w:ind w:firstLine="640" w:firstLineChars="200"/>
        <w:rPr>
          <w:sz w:val="32"/>
          <w:szCs w:val="32"/>
        </w:rPr>
      </w:pPr>
      <w:r>
        <w:rPr>
          <w:rFonts w:hint="eastAsia" w:ascii="仿宋" w:hAnsi="仿宋" w:eastAsia="仿宋"/>
          <w:sz w:val="32"/>
          <w:szCs w:val="32"/>
        </w:rPr>
        <w:t>采用询价方式确定1家成交供应商。若符合要求且实际参与询价的单位不足3家时，则重新组织本次采购事宜。</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三、服务要求</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（一）搬迁服务商在搬迁过程中应</w:t>
      </w:r>
      <w:r>
        <w:rPr>
          <w:rFonts w:hint="eastAsia" w:ascii="仿宋" w:hAnsi="仿宋" w:eastAsia="仿宋" w:cs="仿宋"/>
          <w:color w:val="000000"/>
          <w:sz w:val="32"/>
          <w:szCs w:val="32"/>
          <w:shd w:val="clear" w:color="auto" w:fill="FFFFFF"/>
        </w:rPr>
        <w:t>做好安全防护工作，搬迁过程中如出现物资损坏，由中标人照价赔偿，如出现人员伤亡由中标人自行负责，其他要求</w:t>
      </w:r>
      <w:r>
        <w:rPr>
          <w:rFonts w:hint="eastAsia" w:ascii="仿宋" w:hAnsi="仿宋" w:eastAsia="仿宋"/>
          <w:sz w:val="32"/>
          <w:szCs w:val="32"/>
        </w:rPr>
        <w:t>详见附件响应文件模板中搬迁清单相关内容。</w:t>
      </w:r>
    </w:p>
    <w:p>
      <w:pPr>
        <w:spacing w:line="52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sz w:val="32"/>
          <w:szCs w:val="32"/>
        </w:rPr>
        <w:t>（二）</w:t>
      </w:r>
      <w:r>
        <w:rPr>
          <w:rFonts w:ascii="仿宋" w:hAnsi="仿宋" w:eastAsia="仿宋" w:cs="仿宋"/>
          <w:color w:val="000000"/>
          <w:sz w:val="32"/>
          <w:szCs w:val="32"/>
          <w:shd w:val="clear" w:color="auto" w:fill="FFFFFF"/>
        </w:rPr>
        <w:t>单项单件搬迁费用包含搬运人工费、办公家私拆装费、提供打包纸箱（纸箱规格60*40*50cm）、打包费、运输费用。</w:t>
      </w:r>
    </w:p>
    <w:p>
      <w:pPr>
        <w:spacing w:line="52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（三）搬迁数量为预估数，投标方按单项单件进行报价，总费用按实际搬迁数量核算。</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四、最高限价</w:t>
      </w:r>
    </w:p>
    <w:p>
      <w:pPr>
        <w:spacing w:line="520" w:lineRule="exact"/>
        <w:ind w:firstLine="640" w:firstLineChars="200"/>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询价</w:t>
      </w:r>
      <w:r>
        <w:rPr>
          <w:rFonts w:ascii="仿宋" w:hAnsi="仿宋" w:eastAsia="仿宋"/>
          <w:sz w:val="32"/>
          <w:szCs w:val="32"/>
        </w:rPr>
        <w:t>设最高限价</w:t>
      </w:r>
      <w:r>
        <w:rPr>
          <w:rFonts w:hint="eastAsia" w:ascii="仿宋" w:hAnsi="仿宋" w:eastAsia="仿宋"/>
          <w:sz w:val="32"/>
          <w:szCs w:val="32"/>
        </w:rPr>
        <w:t>10万元（总价）</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rPr>
        <w:t>，</w:t>
      </w:r>
      <w:r>
        <w:rPr>
          <w:rFonts w:ascii="仿宋" w:hAnsi="仿宋" w:eastAsia="仿宋"/>
          <w:sz w:val="32"/>
          <w:szCs w:val="32"/>
        </w:rPr>
        <w:t>报价含税。</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五、中标原则</w:t>
      </w:r>
    </w:p>
    <w:p>
      <w:pPr>
        <w:spacing w:line="520" w:lineRule="exact"/>
        <w:ind w:firstLine="640" w:firstLineChars="200"/>
        <w:rPr>
          <w:rFonts w:ascii="仿宋" w:hAnsi="仿宋" w:eastAsia="仿宋"/>
          <w:sz w:val="32"/>
          <w:szCs w:val="32"/>
        </w:rPr>
      </w:pPr>
      <w:r>
        <w:rPr>
          <w:rFonts w:hint="eastAsia" w:ascii="仿宋_GB2312" w:eastAsia="仿宋_GB2312"/>
          <w:sz w:val="32"/>
          <w:szCs w:val="32"/>
        </w:rPr>
        <w:t>在全部满足指标等需求的前提下，采用</w:t>
      </w:r>
      <w:r>
        <w:rPr>
          <w:rFonts w:hint="eastAsia" w:ascii="仿宋_GB2312" w:eastAsia="仿宋_GB2312"/>
          <w:b/>
          <w:bCs/>
          <w:sz w:val="32"/>
          <w:szCs w:val="32"/>
        </w:rPr>
        <w:t>价低者得（含税）</w:t>
      </w:r>
      <w:r>
        <w:rPr>
          <w:rFonts w:hint="eastAsia" w:ascii="仿宋_GB2312" w:eastAsia="仿宋_GB2312"/>
          <w:sz w:val="32"/>
          <w:szCs w:val="32"/>
        </w:rPr>
        <w:t>原则确定成交供应商。如出现最低报价多于一家的情况，则由采购方从最低报价单位中，抽签确定一家成交供应商。</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六、其他说明</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（一）如出现有不真实投标或有违法违规行为或放弃中标权的，采购方有权取消中标人的中标资格，并按照中标原则顺延确定新的中标单位</w:t>
      </w:r>
    </w:p>
    <w:p>
      <w:pPr>
        <w:pStyle w:val="2"/>
        <w:ind w:firstLine="640"/>
        <w:rPr>
          <w:rFonts w:eastAsia="仿宋_GB2312"/>
        </w:rPr>
      </w:pPr>
      <w:r>
        <w:rPr>
          <w:rFonts w:hint="eastAsia" w:ascii="仿宋_GB2312" w:hAnsi="等线" w:eastAsia="仿宋_GB2312"/>
          <w:sz w:val="32"/>
          <w:szCs w:val="32"/>
        </w:rPr>
        <w:t>（二）如询价单位认为必要时，可在公告截止日前自行联系本公告下方业务联系人进行实地勘查，确保全面了解本次搬迁的需求。</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七、付款方式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整体搬迁完毕在收到供应商增值税发票后15个工作日内一次性付清全额费用。 </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八、响应文件组成（以下资料均须密封）</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（一）营业执照副本、组织机构代码证、税务登记证复印件或三证合一复印件（加盖公章）；</w:t>
      </w:r>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（二）法人授权委托书和受托人身份证复印件（如法人代表参加只须递交身份证复印件）（签字并加盖公章）；</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（三）报价表（</w:t>
      </w:r>
      <w:bookmarkStart w:id="0" w:name="_GoBack"/>
      <w:bookmarkEnd w:id="0"/>
      <w:r>
        <w:rPr>
          <w:rFonts w:hint="eastAsia" w:ascii="仿宋" w:hAnsi="仿宋" w:eastAsia="仿宋" w:cs="仿宋"/>
          <w:sz w:val="32"/>
          <w:szCs w:val="32"/>
        </w:rPr>
        <w:t>样式后附）（签字并加盖公章）；</w:t>
      </w:r>
    </w:p>
    <w:p>
      <w:r>
        <w:rPr>
          <w:rFonts w:hint="eastAsia" w:ascii="仿宋" w:hAnsi="仿宋" w:eastAsia="仿宋" w:cs="仿宋"/>
          <w:sz w:val="32"/>
          <w:szCs w:val="32"/>
        </w:rPr>
        <w:t xml:space="preserve">    （四）提供商事主体查询平台或市场监督管理部门网站关于本企业的经营范围查询页面截图（经营范围须包含装卸搬运及家具安装或维修服务类）（加盖公章）</w:t>
      </w:r>
    </w:p>
    <w:p>
      <w:pPr>
        <w:spacing w:line="520" w:lineRule="exact"/>
        <w:ind w:firstLine="640" w:firstLineChars="200"/>
        <w:rPr>
          <w:rFonts w:ascii="仿宋" w:hAnsi="仿宋" w:eastAsia="仿宋" w:cs="仿宋"/>
          <w:sz w:val="32"/>
          <w:szCs w:val="32"/>
        </w:rPr>
      </w:pPr>
      <w:r>
        <w:rPr>
          <w:rFonts w:hint="eastAsia" w:ascii="黑体" w:hAnsi="黑体" w:eastAsia="黑体"/>
          <w:sz w:val="32"/>
          <w:szCs w:val="32"/>
        </w:rPr>
        <w:t>九、递交响应文件时间：</w:t>
      </w:r>
      <w:r>
        <w:rPr>
          <w:rFonts w:hint="eastAsia" w:ascii="仿宋" w:hAnsi="仿宋" w:eastAsia="仿宋" w:cs="仿宋"/>
          <w:b/>
          <w:bCs/>
          <w:sz w:val="32"/>
          <w:szCs w:val="32"/>
          <w:u w:val="single"/>
        </w:rPr>
        <w:t>2023年12月1日12时前</w:t>
      </w:r>
      <w:r>
        <w:rPr>
          <w:rFonts w:hint="eastAsia" w:ascii="仿宋" w:hAnsi="仿宋" w:eastAsia="仿宋" w:cs="仿宋"/>
          <w:sz w:val="32"/>
          <w:szCs w:val="32"/>
        </w:rPr>
        <w:t>，响应文件应按附件（后附）的格式进行编制，响应文件密封后以派专人送达或快递方式送至深圳市西部公共汽车有限公司3A03采购招标部（深圳市宝安区宝城115区宝安客运中心3A03室），逾期送达不予受理（如以快递形式递交响应文件，以采购方实际收到时间为准）。所有响应的密封文件将在我司监督部门下开封，并由询价采购小组成员进行评审，投标单位无需委派人员到场，评审结果将以电话方式通知中标人，以短信方式通知落标人。</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十、联系人及电话</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采购招标部（询价联系人）：黄工15999574885</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综合办公室（业务联系人）：黄工13632804265</w:t>
      </w:r>
    </w:p>
    <w:p>
      <w:pPr>
        <w:spacing w:line="520" w:lineRule="exact"/>
        <w:ind w:firstLine="640" w:firstLineChars="200"/>
        <w:rPr>
          <w:rFonts w:ascii="仿宋" w:hAnsi="仿宋" w:eastAsia="仿宋" w:cs="仿宋"/>
          <w:sz w:val="32"/>
          <w:szCs w:val="32"/>
        </w:rPr>
      </w:pP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附件：响应文件（样式）</w:t>
      </w:r>
    </w:p>
    <w:p>
      <w:pPr>
        <w:spacing w:line="520" w:lineRule="exact"/>
        <w:ind w:firstLine="3520" w:firstLineChars="1100"/>
        <w:rPr>
          <w:rFonts w:ascii="仿宋" w:hAnsi="仿宋" w:eastAsia="仿宋" w:cs="仿宋"/>
          <w:sz w:val="32"/>
          <w:szCs w:val="32"/>
        </w:rPr>
      </w:pPr>
    </w:p>
    <w:p>
      <w:pPr>
        <w:spacing w:line="520" w:lineRule="exact"/>
        <w:ind w:firstLine="5120" w:firstLineChars="1600"/>
        <w:rPr>
          <w:rFonts w:ascii="仿宋" w:hAnsi="仿宋" w:eastAsia="仿宋" w:cs="仿宋"/>
          <w:sz w:val="32"/>
          <w:szCs w:val="32"/>
        </w:rPr>
      </w:pPr>
      <w:r>
        <w:rPr>
          <w:rFonts w:hint="eastAsia" w:ascii="仿宋" w:hAnsi="仿宋" w:eastAsia="仿宋" w:cs="仿宋"/>
          <w:sz w:val="32"/>
          <w:szCs w:val="32"/>
        </w:rPr>
        <w:t>深圳市西部公共汽车有限公司</w:t>
      </w:r>
    </w:p>
    <w:p>
      <w:pPr>
        <w:spacing w:line="520" w:lineRule="exact"/>
        <w:ind w:firstLine="6080" w:firstLineChars="19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rPr>
        <w:t>3年11月27日</w:t>
      </w:r>
    </w:p>
    <w:p>
      <w:pPr>
        <w:rPr>
          <w:rFonts w:hint="eastAsia" w:ascii="仿宋" w:hAnsi="仿宋" w:eastAsia="仿宋" w:cs="仿宋"/>
          <w:sz w:val="32"/>
          <w:szCs w:val="32"/>
        </w:rPr>
      </w:pPr>
    </w:p>
    <w:p>
      <w:pPr>
        <w:pStyle w:val="2"/>
        <w:ind w:firstLine="400"/>
      </w:pPr>
    </w:p>
    <w:p>
      <w:pPr>
        <w:rPr>
          <w:rFonts w:ascii="仿宋" w:hAnsi="仿宋" w:eastAsia="仿宋" w:cs="仿宋"/>
          <w:sz w:val="32"/>
          <w:szCs w:val="32"/>
        </w:rPr>
      </w:pPr>
      <w:r>
        <w:rPr>
          <w:rFonts w:ascii="仿宋" w:hAnsi="仿宋" w:eastAsia="仿宋" w:cs="仿宋"/>
          <w:sz w:val="32"/>
          <w:szCs w:val="32"/>
        </w:rPr>
        <w:br w:type="page"/>
      </w:r>
    </w:p>
    <w:p>
      <w:pPr>
        <w:rPr>
          <w:rFonts w:ascii="黑体" w:hAnsi="黑体" w:eastAsia="黑体" w:cs="仿宋"/>
          <w:sz w:val="32"/>
          <w:szCs w:val="32"/>
        </w:rPr>
      </w:pPr>
      <w:r>
        <w:rPr>
          <w:rFonts w:hint="eastAsia" w:ascii="黑体" w:hAnsi="黑体" w:eastAsia="黑体" w:cs="仿宋"/>
          <w:sz w:val="32"/>
          <w:szCs w:val="32"/>
        </w:rPr>
        <w:t>附件</w:t>
      </w:r>
    </w:p>
    <w:p>
      <w:pPr>
        <w:pStyle w:val="2"/>
        <w:ind w:firstLine="640"/>
        <w:rPr>
          <w:rFonts w:ascii="黑体" w:hAnsi="黑体" w:eastAsia="黑体" w:cs="仿宋"/>
          <w:sz w:val="32"/>
          <w:szCs w:val="32"/>
        </w:rPr>
      </w:pPr>
    </w:p>
    <w:p>
      <w:pPr>
        <w:rPr>
          <w:rFonts w:ascii="黑体" w:hAnsi="黑体" w:eastAsia="黑体" w:cs="仿宋"/>
          <w:sz w:val="32"/>
          <w:szCs w:val="32"/>
        </w:rPr>
      </w:pPr>
    </w:p>
    <w:p>
      <w:pPr>
        <w:pStyle w:val="2"/>
        <w:ind w:firstLine="640"/>
        <w:rPr>
          <w:rFonts w:ascii="黑体" w:hAnsi="黑体" w:eastAsia="黑体" w:cs="仿宋"/>
          <w:sz w:val="32"/>
          <w:szCs w:val="32"/>
        </w:rPr>
      </w:pPr>
    </w:p>
    <w:p/>
    <w:p>
      <w:pPr>
        <w:jc w:val="center"/>
        <w:rPr>
          <w:rFonts w:ascii="黑体" w:hAnsi="黑体" w:eastAsia="黑体" w:cs="仿宋"/>
          <w:b/>
          <w:bCs/>
          <w:sz w:val="52"/>
          <w:szCs w:val="52"/>
        </w:rPr>
      </w:pPr>
      <w:r>
        <w:rPr>
          <w:rFonts w:hint="eastAsia" w:ascii="黑体" w:hAnsi="黑体" w:eastAsia="黑体" w:cs="仿宋"/>
          <w:b/>
          <w:bCs/>
          <w:sz w:val="52"/>
          <w:szCs w:val="52"/>
        </w:rPr>
        <w:t>响  应  文  件</w:t>
      </w:r>
    </w:p>
    <w:p>
      <w:pPr>
        <w:pStyle w:val="2"/>
        <w:ind w:firstLine="1040"/>
        <w:rPr>
          <w:rFonts w:ascii="黑体" w:hAnsi="黑体" w:eastAsia="黑体" w:cs="仿宋"/>
          <w:sz w:val="52"/>
          <w:szCs w:val="52"/>
        </w:rPr>
      </w:pPr>
    </w:p>
    <w:p>
      <w:pPr>
        <w:pStyle w:val="2"/>
        <w:ind w:firstLine="1040"/>
        <w:rPr>
          <w:rFonts w:ascii="黑体" w:hAnsi="黑体" w:eastAsia="黑体" w:cs="仿宋"/>
          <w:sz w:val="52"/>
          <w:szCs w:val="52"/>
        </w:rPr>
      </w:pPr>
    </w:p>
    <w:p>
      <w:pPr>
        <w:pStyle w:val="2"/>
        <w:ind w:firstLine="1040"/>
        <w:rPr>
          <w:rFonts w:ascii="黑体" w:hAnsi="黑体" w:eastAsia="黑体" w:cs="仿宋"/>
          <w:sz w:val="52"/>
          <w:szCs w:val="52"/>
        </w:rPr>
      </w:pPr>
    </w:p>
    <w:p>
      <w:pPr>
        <w:pStyle w:val="2"/>
        <w:ind w:firstLine="2520" w:firstLineChars="700"/>
        <w:rPr>
          <w:rFonts w:ascii="楷体" w:hAnsi="楷体" w:eastAsia="楷体" w:cs="楷体"/>
          <w:sz w:val="36"/>
          <w:szCs w:val="36"/>
        </w:rPr>
      </w:pPr>
      <w:r>
        <w:rPr>
          <w:rFonts w:hint="eastAsia" w:ascii="楷体" w:hAnsi="楷体" w:eastAsia="楷体" w:cs="楷体"/>
          <w:sz w:val="36"/>
          <w:szCs w:val="36"/>
        </w:rPr>
        <w:t>单位名称：</w:t>
      </w:r>
      <w:r>
        <w:rPr>
          <w:rFonts w:hint="eastAsia" w:ascii="楷体" w:hAnsi="楷体" w:eastAsia="楷体" w:cs="楷体"/>
          <w:sz w:val="36"/>
          <w:szCs w:val="36"/>
          <w:u w:val="single"/>
        </w:rPr>
        <w:t xml:space="preserve">               </w:t>
      </w:r>
    </w:p>
    <w:p>
      <w:pPr>
        <w:pStyle w:val="2"/>
        <w:ind w:firstLine="2520" w:firstLineChars="700"/>
        <w:rPr>
          <w:rFonts w:ascii="楷体" w:hAnsi="楷体" w:eastAsia="楷体" w:cs="楷体"/>
          <w:sz w:val="36"/>
          <w:szCs w:val="36"/>
        </w:rPr>
      </w:pPr>
      <w:r>
        <w:rPr>
          <w:rFonts w:hint="eastAsia" w:ascii="楷体" w:hAnsi="楷体" w:eastAsia="楷体" w:cs="楷体"/>
          <w:sz w:val="36"/>
          <w:szCs w:val="36"/>
        </w:rPr>
        <w:t>项目名称：</w:t>
      </w:r>
      <w:r>
        <w:rPr>
          <w:rFonts w:hint="eastAsia" w:ascii="楷体" w:hAnsi="楷体" w:eastAsia="楷体" w:cs="楷体"/>
          <w:sz w:val="36"/>
          <w:szCs w:val="36"/>
          <w:u w:val="single"/>
        </w:rPr>
        <w:t xml:space="preserve">               </w:t>
      </w:r>
    </w:p>
    <w:p>
      <w:pPr>
        <w:pStyle w:val="2"/>
        <w:ind w:firstLine="2520" w:firstLineChars="700"/>
        <w:rPr>
          <w:rFonts w:ascii="楷体" w:hAnsi="楷体" w:eastAsia="楷体" w:cs="楷体"/>
          <w:sz w:val="36"/>
          <w:szCs w:val="36"/>
        </w:rPr>
      </w:pPr>
      <w:r>
        <w:rPr>
          <w:rFonts w:hint="eastAsia" w:ascii="楷体" w:hAnsi="楷体" w:eastAsia="楷体" w:cs="楷体"/>
          <w:sz w:val="36"/>
          <w:szCs w:val="36"/>
        </w:rPr>
        <w:t xml:space="preserve">联 系 人: </w:t>
      </w:r>
      <w:r>
        <w:rPr>
          <w:rFonts w:hint="eastAsia" w:ascii="楷体" w:hAnsi="楷体" w:eastAsia="楷体" w:cs="楷体"/>
          <w:sz w:val="36"/>
          <w:szCs w:val="36"/>
          <w:u w:val="single"/>
        </w:rPr>
        <w:t xml:space="preserve">               </w:t>
      </w:r>
    </w:p>
    <w:p>
      <w:pPr>
        <w:ind w:firstLine="2520" w:firstLineChars="700"/>
        <w:rPr>
          <w:rFonts w:ascii="楷体" w:hAnsi="楷体" w:eastAsia="楷体" w:cs="楷体"/>
          <w:sz w:val="36"/>
          <w:szCs w:val="36"/>
        </w:rPr>
      </w:pPr>
      <w:r>
        <w:rPr>
          <w:rFonts w:hint="eastAsia" w:ascii="楷体" w:hAnsi="楷体" w:eastAsia="楷体" w:cs="楷体"/>
          <w:sz w:val="36"/>
          <w:szCs w:val="36"/>
        </w:rPr>
        <w:t>联系电话：</w:t>
      </w:r>
      <w:r>
        <w:rPr>
          <w:rFonts w:hint="eastAsia" w:ascii="楷体" w:hAnsi="楷体" w:eastAsia="楷体" w:cs="楷体"/>
          <w:sz w:val="36"/>
          <w:szCs w:val="36"/>
          <w:u w:val="single"/>
        </w:rPr>
        <w:t xml:space="preserve">               </w:t>
      </w:r>
    </w:p>
    <w:p>
      <w:pPr>
        <w:pStyle w:val="2"/>
        <w:ind w:firstLine="2520" w:firstLineChars="700"/>
        <w:rPr>
          <w:rFonts w:ascii="楷体" w:hAnsi="楷体" w:eastAsia="楷体" w:cs="楷体"/>
          <w:sz w:val="36"/>
          <w:szCs w:val="36"/>
        </w:rPr>
      </w:pPr>
      <w:r>
        <w:rPr>
          <w:rFonts w:hint="eastAsia" w:ascii="楷体" w:hAnsi="楷体" w:eastAsia="楷体" w:cs="楷体"/>
          <w:sz w:val="36"/>
          <w:szCs w:val="36"/>
        </w:rPr>
        <w:t>日    期：</w:t>
      </w:r>
      <w:r>
        <w:rPr>
          <w:rFonts w:hint="eastAsia" w:ascii="楷体" w:hAnsi="楷体" w:eastAsia="楷体" w:cs="楷体"/>
          <w:sz w:val="36"/>
          <w:szCs w:val="36"/>
          <w:u w:val="single"/>
        </w:rPr>
        <w:t xml:space="preserve">               </w:t>
      </w:r>
    </w:p>
    <w:p/>
    <w:p>
      <w:pPr>
        <w:rPr>
          <w:rFonts w:ascii="黑体" w:hAnsi="黑体" w:eastAsia="黑体" w:cs="仿宋"/>
          <w:sz w:val="52"/>
          <w:szCs w:val="52"/>
        </w:rPr>
      </w:pPr>
    </w:p>
    <w:p>
      <w:pPr>
        <w:pStyle w:val="2"/>
        <w:ind w:firstLine="1040"/>
        <w:rPr>
          <w:rFonts w:ascii="黑体" w:hAnsi="黑体" w:eastAsia="黑体" w:cs="仿宋"/>
          <w:sz w:val="52"/>
          <w:szCs w:val="52"/>
        </w:rPr>
      </w:pPr>
    </w:p>
    <w:p/>
    <w:p>
      <w:pPr>
        <w:pStyle w:val="2"/>
        <w:ind w:firstLine="400"/>
      </w:pPr>
    </w:p>
    <w:p>
      <w:pPr>
        <w:jc w:val="center"/>
        <w:rPr>
          <w:rFonts w:ascii="宋体" w:hAnsi="宋体" w:eastAsia="宋体"/>
          <w:sz w:val="44"/>
          <w:szCs w:val="44"/>
        </w:rPr>
        <w:sectPr>
          <w:pgSz w:w="11906" w:h="16838"/>
          <w:pgMar w:top="1440" w:right="1236" w:bottom="1440" w:left="1236" w:header="851" w:footer="992" w:gutter="0"/>
          <w:cols w:space="720" w:num="1"/>
          <w:docGrid w:type="lines" w:linePitch="312" w:charSpace="0"/>
        </w:sectPr>
      </w:pPr>
    </w:p>
    <w:p>
      <w:pPr>
        <w:jc w:val="center"/>
        <w:rPr>
          <w:rFonts w:ascii="宋体" w:hAnsi="宋体" w:eastAsia="宋体"/>
          <w:b/>
          <w:bCs/>
          <w:sz w:val="44"/>
          <w:szCs w:val="44"/>
        </w:rPr>
      </w:pPr>
      <w:r>
        <w:rPr>
          <w:rFonts w:hint="eastAsia" w:ascii="宋体" w:hAnsi="宋体" w:eastAsia="宋体"/>
          <w:b/>
          <w:bCs/>
          <w:sz w:val="44"/>
          <w:szCs w:val="44"/>
        </w:rPr>
        <w:t>目  录</w:t>
      </w:r>
    </w:p>
    <w:p>
      <w:pPr>
        <w:pStyle w:val="2"/>
        <w:ind w:firstLine="880"/>
        <w:rPr>
          <w:rFonts w:ascii="宋体" w:hAnsi="宋体" w:eastAsia="宋体"/>
          <w:sz w:val="44"/>
          <w:szCs w:val="44"/>
        </w:rPr>
      </w:pPr>
    </w:p>
    <w:p>
      <w:pPr>
        <w:rPr>
          <w:rFonts w:ascii="宋体" w:hAnsi="宋体" w:eastAsia="宋体"/>
          <w:sz w:val="32"/>
          <w:szCs w:val="32"/>
        </w:rPr>
      </w:pPr>
      <w:r>
        <w:rPr>
          <w:rFonts w:hint="eastAsia" w:ascii="宋体" w:hAnsi="宋体" w:eastAsia="宋体"/>
          <w:sz w:val="32"/>
          <w:szCs w:val="32"/>
        </w:rPr>
        <w:t>A1.营业执照                          - - - - - - 第1页</w:t>
      </w:r>
    </w:p>
    <w:p>
      <w:pPr>
        <w:rPr>
          <w:rFonts w:ascii="宋体" w:hAnsi="宋体" w:eastAsia="宋体"/>
          <w:sz w:val="32"/>
          <w:szCs w:val="32"/>
        </w:rPr>
      </w:pPr>
      <w:r>
        <w:rPr>
          <w:rFonts w:hint="eastAsia" w:ascii="宋体" w:hAnsi="宋体" w:eastAsia="宋体"/>
          <w:sz w:val="32"/>
          <w:szCs w:val="32"/>
        </w:rPr>
        <w:t>A2.法人授权委托书                    - - - - - - 第2页</w:t>
      </w:r>
    </w:p>
    <w:p>
      <w:pPr>
        <w:rPr>
          <w:rFonts w:ascii="宋体" w:hAnsi="宋体" w:eastAsia="宋体"/>
          <w:sz w:val="32"/>
          <w:szCs w:val="32"/>
        </w:rPr>
      </w:pPr>
      <w:r>
        <w:rPr>
          <w:rFonts w:hint="eastAsia" w:ascii="宋体" w:hAnsi="宋体" w:eastAsia="宋体"/>
          <w:sz w:val="32"/>
          <w:szCs w:val="32"/>
        </w:rPr>
        <w:t>A3.报价表                            - - - - - - 第3页</w:t>
      </w:r>
    </w:p>
    <w:p>
      <w:pPr>
        <w:rPr>
          <w:rFonts w:ascii="宋体" w:hAnsi="宋体" w:eastAsia="宋体"/>
          <w:sz w:val="32"/>
          <w:szCs w:val="32"/>
        </w:rPr>
      </w:pPr>
      <w:r>
        <w:rPr>
          <w:rFonts w:hint="eastAsia" w:ascii="宋体" w:hAnsi="宋体" w:eastAsia="宋体"/>
          <w:sz w:val="32"/>
          <w:szCs w:val="32"/>
        </w:rPr>
        <w:t>A4.经营范围查询页面截图              - - - - - - 第4页</w:t>
      </w:r>
    </w:p>
    <w:p>
      <w:pPr>
        <w:pStyle w:val="2"/>
        <w:ind w:firstLine="0" w:firstLineChars="0"/>
        <w:sectPr>
          <w:headerReference r:id="rId3" w:type="default"/>
          <w:pgSz w:w="11906" w:h="16838"/>
          <w:pgMar w:top="1440" w:right="1236" w:bottom="1440" w:left="1236" w:header="851" w:footer="992" w:gutter="0"/>
          <w:cols w:space="720" w:num="1"/>
          <w:docGrid w:type="lines" w:linePitch="312" w:charSpace="0"/>
        </w:sectPr>
      </w:pP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rPr>
        <w:t>法人授权委托证明书</w:t>
      </w:r>
    </w:p>
    <w:p>
      <w:pPr>
        <w:tabs>
          <w:tab w:val="left" w:pos="180"/>
        </w:tabs>
        <w:spacing w:line="360" w:lineRule="auto"/>
        <w:jc w:val="left"/>
        <w:rPr>
          <w:rFonts w:ascii="仿宋_GB2312" w:hAnsi="Times New Roman" w:eastAsia="仿宋_GB2312" w:cs="Times New Roman"/>
          <w:sz w:val="32"/>
          <w:szCs w:val="32"/>
        </w:rPr>
      </w:pP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的询价公告，我司委托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代表本公司（单位）参加本次“西部公汽宝安客运中心办公楼搬迁服务</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    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pStyle w:val="2"/>
        <w:ind w:firstLine="640"/>
        <w:rPr>
          <w:rFonts w:ascii="仿宋" w:hAnsi="仿宋" w:eastAsia="仿宋" w:cs="仿宋"/>
          <w:sz w:val="32"/>
          <w:szCs w:val="32"/>
        </w:rPr>
      </w:pPr>
    </w:p>
    <w:p>
      <w:pPr>
        <w:pStyle w:val="2"/>
        <w:ind w:firstLine="640"/>
        <w:rPr>
          <w:rFonts w:ascii="仿宋" w:hAnsi="仿宋" w:eastAsia="仿宋" w:cs="仿宋"/>
          <w:sz w:val="32"/>
          <w:szCs w:val="32"/>
        </w:rPr>
        <w:sectPr>
          <w:pgSz w:w="11906" w:h="16838"/>
          <w:pgMar w:top="1440" w:right="1236" w:bottom="1440" w:left="1236" w:header="851" w:footer="992" w:gutter="0"/>
          <w:cols w:space="720" w:num="1"/>
          <w:docGrid w:type="lines" w:linePitch="312" w:charSpace="0"/>
        </w:sectPr>
      </w:pPr>
      <w:r>
        <w:rPr>
          <w:rFonts w:hint="eastAsia" w:ascii="仿宋" w:hAnsi="仿宋" w:eastAsia="仿宋" w:cs="仿宋"/>
          <w:sz w:val="32"/>
          <w:szCs w:val="32"/>
        </w:rPr>
        <w:t>（附授权代表身份证复印件）</w:t>
      </w:r>
    </w:p>
    <w:p>
      <w:pPr>
        <w:jc w:val="left"/>
        <w:rPr>
          <w:b/>
          <w:bCs/>
          <w:sz w:val="20"/>
          <w:szCs w:val="21"/>
        </w:rPr>
      </w:pPr>
    </w:p>
    <w:sectPr>
      <w:pgSz w:w="11906" w:h="16838"/>
      <w:pgMar w:top="1440" w:right="1236" w:bottom="1440" w:left="123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TZmYTQxZjhmYTM4ZjE3MTc4ZjNhM2Y4NWMwODg2NDIifQ=="/>
  </w:docVars>
  <w:rsids>
    <w:rsidRoot w:val="008A6717"/>
    <w:rsid w:val="00013831"/>
    <w:rsid w:val="00014D10"/>
    <w:rsid w:val="00027CF1"/>
    <w:rsid w:val="00096D40"/>
    <w:rsid w:val="000D196B"/>
    <w:rsid w:val="001458AD"/>
    <w:rsid w:val="00166BA3"/>
    <w:rsid w:val="00196AC8"/>
    <w:rsid w:val="001B51CB"/>
    <w:rsid w:val="001C1F43"/>
    <w:rsid w:val="00244C58"/>
    <w:rsid w:val="002516CA"/>
    <w:rsid w:val="00257580"/>
    <w:rsid w:val="00296FCC"/>
    <w:rsid w:val="002A1FC1"/>
    <w:rsid w:val="003B1F0B"/>
    <w:rsid w:val="003E798D"/>
    <w:rsid w:val="004071E3"/>
    <w:rsid w:val="004907D0"/>
    <w:rsid w:val="004B7441"/>
    <w:rsid w:val="004B7D67"/>
    <w:rsid w:val="004D354E"/>
    <w:rsid w:val="005054B1"/>
    <w:rsid w:val="00536996"/>
    <w:rsid w:val="005540DF"/>
    <w:rsid w:val="005729B6"/>
    <w:rsid w:val="005E63B0"/>
    <w:rsid w:val="0069532E"/>
    <w:rsid w:val="006C0F3F"/>
    <w:rsid w:val="0070481E"/>
    <w:rsid w:val="0072154D"/>
    <w:rsid w:val="007344CC"/>
    <w:rsid w:val="007837AD"/>
    <w:rsid w:val="007B5903"/>
    <w:rsid w:val="00826EF1"/>
    <w:rsid w:val="00881561"/>
    <w:rsid w:val="008949D0"/>
    <w:rsid w:val="00895FD8"/>
    <w:rsid w:val="008A6717"/>
    <w:rsid w:val="008C0C4B"/>
    <w:rsid w:val="008E79DF"/>
    <w:rsid w:val="0090227F"/>
    <w:rsid w:val="0091178F"/>
    <w:rsid w:val="009237D2"/>
    <w:rsid w:val="00990607"/>
    <w:rsid w:val="009C6BB2"/>
    <w:rsid w:val="009F587C"/>
    <w:rsid w:val="00A06AAD"/>
    <w:rsid w:val="00A6751B"/>
    <w:rsid w:val="00A93DB2"/>
    <w:rsid w:val="00AE30F4"/>
    <w:rsid w:val="00AF3DC9"/>
    <w:rsid w:val="00B119B2"/>
    <w:rsid w:val="00B868C1"/>
    <w:rsid w:val="00BC498F"/>
    <w:rsid w:val="00C13E85"/>
    <w:rsid w:val="00C517D9"/>
    <w:rsid w:val="00C72423"/>
    <w:rsid w:val="00C8344D"/>
    <w:rsid w:val="00C85144"/>
    <w:rsid w:val="00C869D1"/>
    <w:rsid w:val="00C91F67"/>
    <w:rsid w:val="00CA6C44"/>
    <w:rsid w:val="00CB2B82"/>
    <w:rsid w:val="00D1659B"/>
    <w:rsid w:val="00D41E71"/>
    <w:rsid w:val="00D476BD"/>
    <w:rsid w:val="00DA2246"/>
    <w:rsid w:val="00DB1DA2"/>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7F825D7"/>
    <w:rsid w:val="0C8471B5"/>
    <w:rsid w:val="149209C6"/>
    <w:rsid w:val="17084E70"/>
    <w:rsid w:val="25AD7E04"/>
    <w:rsid w:val="2AE027F7"/>
    <w:rsid w:val="2CE3132C"/>
    <w:rsid w:val="31B82B19"/>
    <w:rsid w:val="32212E00"/>
    <w:rsid w:val="341976D8"/>
    <w:rsid w:val="359E5E46"/>
    <w:rsid w:val="35CD1964"/>
    <w:rsid w:val="4A711FD5"/>
    <w:rsid w:val="5152477A"/>
    <w:rsid w:val="51DC7DD7"/>
    <w:rsid w:val="53EA649C"/>
    <w:rsid w:val="599B32A3"/>
    <w:rsid w:val="5C4355E4"/>
    <w:rsid w:val="5D67094D"/>
    <w:rsid w:val="60CF437F"/>
    <w:rsid w:val="657E3632"/>
    <w:rsid w:val="68CD3D77"/>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黑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unhideWhenUsed/>
    <w:qFormat/>
    <w:uiPriority w:val="99"/>
    <w:pPr>
      <w:ind w:left="100" w:leftChars="2500"/>
    </w:pPr>
  </w:style>
  <w:style w:type="paragraph" w:styleId="5">
    <w:name w:val="Balloon Text"/>
    <w:basedOn w:val="1"/>
    <w:link w:val="13"/>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 w:type="character" w:customStyle="1" w:styleId="15">
    <w:name w:val="font61"/>
    <w:basedOn w:val="10"/>
    <w:qFormat/>
    <w:uiPriority w:val="0"/>
    <w:rPr>
      <w:rFonts w:hint="eastAsia" w:ascii="宋体" w:hAnsi="宋体" w:eastAsia="宋体" w:cs="宋体"/>
      <w:color w:val="auto"/>
      <w:sz w:val="18"/>
      <w:szCs w:val="18"/>
      <w:u w:val="none"/>
    </w:rPr>
  </w:style>
  <w:style w:type="character" w:customStyle="1" w:styleId="16">
    <w:name w:val="font51"/>
    <w:basedOn w:val="10"/>
    <w:qFormat/>
    <w:uiPriority w:val="0"/>
    <w:rPr>
      <w:rFonts w:hint="eastAsia" w:ascii="宋体" w:hAnsi="宋体" w:eastAsia="宋体" w:cs="宋体"/>
      <w:color w:val="auto"/>
      <w:sz w:val="20"/>
      <w:szCs w:val="20"/>
      <w:u w:val="none"/>
    </w:rPr>
  </w:style>
  <w:style w:type="character" w:customStyle="1" w:styleId="17">
    <w:name w:val="font81"/>
    <w:basedOn w:val="10"/>
    <w:qFormat/>
    <w:uiPriority w:val="0"/>
    <w:rPr>
      <w:rFonts w:hint="eastAsia" w:ascii="宋体" w:hAnsi="宋体" w:eastAsia="宋体" w:cs="宋体"/>
      <w:color w:val="000000"/>
      <w:sz w:val="20"/>
      <w:szCs w:val="20"/>
      <w:u w:val="none"/>
    </w:rPr>
  </w:style>
  <w:style w:type="character" w:customStyle="1" w:styleId="18">
    <w:name w:val="font71"/>
    <w:basedOn w:val="10"/>
    <w:qFormat/>
    <w:uiPriority w:val="0"/>
    <w:rPr>
      <w:rFonts w:hint="eastAsia" w:ascii="宋体" w:hAnsi="宋体" w:eastAsia="宋体" w:cs="宋体"/>
      <w:color w:val="000000"/>
      <w:sz w:val="20"/>
      <w:szCs w:val="20"/>
      <w:u w:val="none"/>
    </w:rPr>
  </w:style>
  <w:style w:type="character" w:customStyle="1" w:styleId="19">
    <w:name w:val="font91"/>
    <w:basedOn w:val="10"/>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XBGQ</Company>
  <Pages>7</Pages>
  <Words>285</Words>
  <Characters>1625</Characters>
  <Lines>13</Lines>
  <Paragraphs>3</Paragraphs>
  <TotalTime>30</TotalTime>
  <ScaleCrop>false</ScaleCrop>
  <LinksUpToDate>false</LinksUpToDate>
  <CharactersWithSpaces>1907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梁参</cp:lastModifiedBy>
  <cp:lastPrinted>2023-11-28T02:18:27Z</cp:lastPrinted>
  <dcterms:modified xsi:type="dcterms:W3CDTF">2023-11-28T02:23:39Z</dcterms:modified>
  <dc:title>深业U中心办公场所综合布线采购询价公告</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